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Pr>
          <w:rFonts w:hint="eastAsia" w:ascii="Arial" w:hAnsi="Arial" w:cs="Arial"/>
          <w:b/>
          <w:sz w:val="22"/>
          <w:szCs w:val="22"/>
        </w:rPr>
        <w:t>S3-250519</w:t>
      </w:r>
    </w:p>
    <w:p>
      <w:pPr>
        <w:pStyle w:val="82"/>
        <w:outlineLvl w:val="0"/>
        <w:rPr>
          <w:b/>
          <w:bCs/>
          <w:sz w:val="24"/>
        </w:rPr>
      </w:pPr>
      <w:r>
        <w:rPr>
          <w:rFonts w:cs="Arial"/>
          <w:b/>
          <w:bCs/>
          <w:sz w:val="22"/>
          <w:szCs w:val="22"/>
        </w:rPr>
        <w:t>Athens, Greece, 17 - 21 February 2025</w:t>
      </w:r>
    </w:p>
    <w:p>
      <w:pPr>
        <w:pStyle w:val="82"/>
        <w:outlineLvl w:val="0"/>
        <w:rPr>
          <w:b/>
          <w:sz w:val="24"/>
        </w:rPr>
      </w:pPr>
    </w:p>
    <w:p>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lang w:val="en-US" w:eastAsia="zh-CN"/>
        </w:rPr>
        <w:t>Clean up for TR 33.713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9</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w:t>
      </w:r>
      <w:r>
        <w:rPr>
          <w:rFonts w:hint="eastAsia" w:ascii="Arial" w:hAnsi="Arial" w:cs="Arial"/>
          <w:b/>
          <w:bCs/>
          <w:lang w:val="en-US" w:eastAsia="zh-CN"/>
        </w:rPr>
        <w:t xml:space="preserve"> </w:t>
      </w:r>
      <w:r>
        <w:rPr>
          <w:rFonts w:ascii="Arial" w:hAnsi="Arial" w:cs="Arial"/>
          <w:b/>
          <w:bCs/>
          <w:lang w:val="en-US"/>
        </w:rPr>
        <w:t>TR</w:t>
      </w:r>
      <w:r>
        <w:rPr>
          <w:rFonts w:hint="eastAsia" w:ascii="Arial" w:hAnsi="Arial" w:cs="Arial"/>
          <w:b/>
          <w:bCs/>
          <w:lang w:val="en-US" w:eastAsia="zh-CN"/>
        </w:rPr>
        <w:t xml:space="preserve"> 33.713</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0.6.0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FS_AIOT_Sec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Comments</w:t>
      </w:r>
    </w:p>
    <w:p>
      <w:pPr>
        <w:rPr>
          <w:rFonts w:hint="default" w:eastAsia="宋体"/>
          <w:lang w:val="en-US" w:eastAsia="zh-CN"/>
        </w:rPr>
      </w:pPr>
      <w:r>
        <w:rPr>
          <w:lang w:eastAsia="zh-CN"/>
        </w:rPr>
        <w:t>The contribution propose</w:t>
      </w:r>
      <w:r>
        <w:rPr>
          <w:rFonts w:hint="eastAsia"/>
          <w:lang w:eastAsia="zh-CN"/>
        </w:rPr>
        <w:t>s</w:t>
      </w:r>
      <w:r>
        <w:rPr>
          <w:lang w:eastAsia="zh-CN"/>
        </w:rPr>
        <w:t xml:space="preserve"> </w:t>
      </w:r>
      <w:r>
        <w:rPr>
          <w:rFonts w:hint="eastAsia"/>
          <w:lang w:eastAsia="zh-CN"/>
        </w:rPr>
        <w:t>to</w:t>
      </w:r>
      <w:r>
        <w:rPr>
          <w:rFonts w:hint="eastAsia"/>
          <w:lang w:val="en-US" w:eastAsia="zh-CN"/>
        </w:rPr>
        <w:t xml:space="preserve"> clean up for TR 33.713. The reference for TS 33.501 is already mentioned in number 5. The reference for TS 33.310 is missing.</w:t>
      </w:r>
      <w:bookmarkStart w:id="25" w:name="_GoBack"/>
      <w:bookmarkEnd w:id="25"/>
    </w:p>
    <w:p>
      <w:pPr>
        <w:pBdr>
          <w:bottom w:val="single" w:color="auto" w:sz="12" w:space="1"/>
        </w:pBdr>
        <w:rPr>
          <w:lang w:val="en-US"/>
        </w:rPr>
      </w:pPr>
    </w:p>
    <w:p>
      <w:pPr>
        <w:pStyle w:val="82"/>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2"/>
      </w:pPr>
      <w:bookmarkStart w:id="0" w:name="_Toc167405380"/>
      <w:bookmarkStart w:id="1" w:name="_Toc180279140"/>
      <w:bookmarkStart w:id="2" w:name="_Toc182841051"/>
      <w:bookmarkStart w:id="3" w:name="_Toc180278700"/>
      <w:bookmarkStart w:id="4" w:name="_Toc180278876"/>
      <w:bookmarkStart w:id="5" w:name="_Toc182899131"/>
      <w:bookmarkStart w:id="6" w:name="_Toc180279614"/>
      <w:bookmarkStart w:id="7" w:name="_Toc187937389"/>
      <w:r>
        <w:t>2</w:t>
      </w:r>
      <w:r>
        <w:tab/>
      </w:r>
      <w:r>
        <w:t>References</w:t>
      </w:r>
      <w:bookmarkEnd w:id="0"/>
      <w:bookmarkEnd w:id="1"/>
      <w:bookmarkEnd w:id="2"/>
      <w:bookmarkEnd w:id="3"/>
      <w:bookmarkEnd w:id="4"/>
      <w:bookmarkEnd w:id="5"/>
      <w:bookmarkEnd w:id="6"/>
      <w:bookmarkEnd w:id="7"/>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9"/>
      </w:pPr>
      <w:r>
        <w:t>[1]</w:t>
      </w:r>
      <w:r>
        <w:tab/>
      </w:r>
      <w:r>
        <w:t>3GPP TR 21.905: "Vocabulary for 3GPP Specifications".</w:t>
      </w:r>
    </w:p>
    <w:p>
      <w:pPr>
        <w:pStyle w:val="59"/>
      </w:pPr>
      <w:r>
        <w:t>[2]</w:t>
      </w:r>
      <w:r>
        <w:tab/>
      </w:r>
      <w:r>
        <w:t>3GPP TS 22.369: "Service Requirements for ambient power-enabled IoT".</w:t>
      </w:r>
    </w:p>
    <w:p>
      <w:pPr>
        <w:pStyle w:val="59"/>
      </w:pPr>
      <w:r>
        <w:t>[3]</w:t>
      </w:r>
      <w:r>
        <w:tab/>
      </w:r>
      <w:r>
        <w:t>RP-234058, RAN New SID for Study on Solution for Ambient IoT in NR.</w:t>
      </w:r>
    </w:p>
    <w:p>
      <w:pPr>
        <w:pStyle w:val="59"/>
      </w:pPr>
      <w:r>
        <w:t>[4]</w:t>
      </w:r>
      <w:r>
        <w:tab/>
      </w:r>
      <w:r>
        <w:t>3GPP TR 23-700-13: "Study on Architecture Support of Ambient power-enabled Internet of Things".</w:t>
      </w:r>
    </w:p>
    <w:p>
      <w:pPr>
        <w:pStyle w:val="59"/>
        <w:ind w:left="284" w:firstLine="0"/>
      </w:pPr>
      <w:r>
        <w:t>[5]</w:t>
      </w:r>
      <w:r>
        <w:tab/>
      </w:r>
      <w:r>
        <w:tab/>
      </w:r>
      <w:r>
        <w:tab/>
      </w:r>
      <w:r>
        <w:tab/>
      </w:r>
      <w:r>
        <w:tab/>
      </w:r>
      <w:r>
        <w:t>3GPP TS 33.501: "Security Architecture and Procedures for 5G System".</w:t>
      </w:r>
    </w:p>
    <w:p>
      <w:pPr>
        <w:pStyle w:val="59"/>
        <w:ind w:left="284" w:firstLine="0"/>
      </w:pPr>
      <w:r>
        <w:rPr>
          <w:rFonts w:hint="eastAsia"/>
        </w:rPr>
        <w:t>[</w:t>
      </w:r>
      <w:r>
        <w:t>6]</w:t>
      </w:r>
      <w:r>
        <w:tab/>
      </w:r>
      <w:r>
        <w:tab/>
      </w:r>
      <w:r>
        <w:tab/>
      </w:r>
      <w:r>
        <w:tab/>
      </w:r>
      <w:r>
        <w:tab/>
      </w:r>
      <w:r>
        <w:t>R2-2406202 RAN2#126 Meeting Report</w:t>
      </w:r>
    </w:p>
    <w:p>
      <w:pPr>
        <w:keepLines/>
        <w:overflowPunct w:val="0"/>
        <w:autoSpaceDE w:val="0"/>
        <w:autoSpaceDN w:val="0"/>
        <w:adjustRightInd w:val="0"/>
        <w:ind w:left="1702" w:hanging="1418"/>
        <w:textAlignment w:val="baseline"/>
        <w:rPr>
          <w:rFonts w:eastAsia="等线"/>
          <w:lang w:eastAsia="en-GB"/>
        </w:rPr>
      </w:pPr>
      <w:r>
        <w:t>[7]</w:t>
      </w:r>
      <w:r>
        <w:tab/>
      </w:r>
      <w:r>
        <w:t>RFC 4739: "Multiple</w:t>
      </w:r>
      <w:r>
        <w:rPr>
          <w:rFonts w:eastAsia="等线"/>
          <w:lang w:eastAsia="en-GB"/>
        </w:rPr>
        <w:t xml:space="preserve"> Authentication Exchanges in the Internet Key Exchange (IKEv2) Protocol".</w:t>
      </w:r>
    </w:p>
    <w:p>
      <w:pPr>
        <w:pStyle w:val="59"/>
      </w:pPr>
      <w:r>
        <w:rPr>
          <w:rFonts w:hint="eastAsia"/>
          <w:lang w:val="en-US" w:eastAsia="zh-CN"/>
        </w:rPr>
        <w:t>[</w:t>
      </w:r>
      <w:r>
        <w:rPr>
          <w:lang w:val="en-US" w:eastAsia="zh-CN"/>
        </w:rPr>
        <w:t>8</w:t>
      </w:r>
      <w:r>
        <w:rPr>
          <w:rFonts w:hint="eastAsia"/>
          <w:lang w:val="en-US" w:eastAsia="zh-CN"/>
        </w:rPr>
        <w:t>]</w:t>
      </w:r>
      <w:r>
        <w:rPr>
          <w:rFonts w:hint="eastAsia"/>
          <w:lang w:val="en-US" w:eastAsia="zh-CN"/>
        </w:rPr>
        <w:tab/>
      </w:r>
      <w:r>
        <w:t>3GPP TR 38.848: "Technical Specification Group Radio Access Network; Study on Ambient IoT (Internet of Things) in RAN".</w:t>
      </w:r>
    </w:p>
    <w:p>
      <w:pPr>
        <w:pStyle w:val="59"/>
      </w:pPr>
      <w:r>
        <w:t>[9]</w:t>
      </w:r>
      <w:r>
        <w:tab/>
      </w:r>
      <w:r>
        <w:t>3GPP TR 38.789:</w:t>
      </w:r>
      <w:r>
        <w:rPr>
          <w:rFonts w:ascii="Arial" w:hAnsi="Arial" w:cs="Arial"/>
          <w:color w:val="000000"/>
          <w:sz w:val="18"/>
          <w:szCs w:val="18"/>
        </w:rPr>
        <w:t xml:space="preserve"> “</w:t>
      </w:r>
      <w:r>
        <w:t>Study on solutions for Ambient IoT (Internet of Things) in NR”</w:t>
      </w:r>
    </w:p>
    <w:p>
      <w:pPr>
        <w:pStyle w:val="59"/>
        <w:rPr>
          <w:lang w:eastAsia="zh-CN"/>
        </w:rPr>
      </w:pPr>
      <w:r>
        <w:rPr>
          <w:rFonts w:hint="eastAsia"/>
          <w:lang w:eastAsia="zh-CN"/>
        </w:rPr>
        <w:t>[</w:t>
      </w:r>
      <w:r>
        <w:rPr>
          <w:lang w:eastAsia="zh-CN"/>
        </w:rPr>
        <w:t>10]                      Jiao L, Wang N, Wang P, et al. Physical layer key generation in 5G wireless networks[J]. IEEE wireless communications, 2019, 26(5): 48-54.</w:t>
      </w:r>
    </w:p>
    <w:p>
      <w:pPr>
        <w:pStyle w:val="59"/>
        <w:rPr>
          <w:lang w:eastAsia="zh-CN"/>
        </w:rPr>
      </w:pPr>
      <w:r>
        <w:rPr>
          <w:rFonts w:hint="eastAsia"/>
          <w:lang w:eastAsia="zh-CN"/>
        </w:rPr>
        <w:t>[</w:t>
      </w:r>
      <w:r>
        <w:rPr>
          <w:lang w:eastAsia="zh-CN"/>
        </w:rPr>
        <w:t>11]                     Zhao H, Zhang Y, Huang X, et al. A physical-layer key generation approach based on received signal strength in smart homes[J]. IEEE Internet of Things Journal, 2021, 9(7): 4917-4927.</w:t>
      </w:r>
    </w:p>
    <w:p>
      <w:pPr>
        <w:pStyle w:val="59"/>
        <w:rPr>
          <w:lang w:eastAsia="zh-CN"/>
        </w:rPr>
      </w:pPr>
      <w:r>
        <w:rPr>
          <w:lang w:val="en-US" w:eastAsia="zh-CN"/>
        </w:rPr>
        <w:t>[12]</w:t>
      </w:r>
      <w:r>
        <w:rPr>
          <w:lang w:val="en-US" w:eastAsia="zh-CN"/>
        </w:rPr>
        <w:tab/>
      </w:r>
      <w:ins w:id="0" w:author="ZTE-V1" w:date="2025-02-08T18:38:45Z">
        <w:r>
          <w:rPr>
            <w:rFonts w:hint="eastAsia"/>
            <w:lang w:val="en-US" w:eastAsia="zh-CN"/>
          </w:rPr>
          <w:t>V</w:t>
        </w:r>
      </w:ins>
      <w:ins w:id="1" w:author="ZTE-V1" w:date="2025-02-08T18:38:46Z">
        <w:r>
          <w:rPr>
            <w:rFonts w:hint="eastAsia"/>
            <w:lang w:val="en-US" w:eastAsia="zh-CN"/>
          </w:rPr>
          <w:t>oid</w:t>
        </w:r>
      </w:ins>
      <w:del w:id="2" w:author="ZTE-V1" w:date="2025-02-08T18:38:44Z">
        <w:r>
          <w:rPr>
            <w:lang w:val="en-US" w:eastAsia="zh-CN"/>
          </w:rPr>
          <w:delText>3GPP TS 33.501: “</w:delText>
        </w:r>
      </w:del>
      <w:del w:id="3" w:author="ZTE-V1" w:date="2025-02-08T18:38:44Z">
        <w:r>
          <w:rPr>
            <w:lang w:eastAsia="zh-CN"/>
          </w:rPr>
          <w:delText>Security architecture and procedures for 5G System”</w:delText>
        </w:r>
      </w:del>
    </w:p>
    <w:p>
      <w:pPr>
        <w:pStyle w:val="59"/>
        <w:rPr>
          <w:rFonts w:hint="default"/>
          <w:lang w:val="en-US" w:eastAsia="zh-CN"/>
        </w:rPr>
      </w:pPr>
      <w:ins w:id="4" w:author="ZTE-V1" w:date="2025-02-08T18:45:16Z">
        <w:r>
          <w:rPr>
            <w:rFonts w:hint="eastAsia"/>
            <w:lang w:val="en-US" w:eastAsia="zh-CN"/>
          </w:rPr>
          <w:t>[</w:t>
        </w:r>
      </w:ins>
      <w:ins w:id="5" w:author="ZTE-V1" w:date="2025-02-08T18:45:17Z">
        <w:r>
          <w:rPr>
            <w:rFonts w:hint="eastAsia"/>
            <w:lang w:val="en-US" w:eastAsia="zh-CN"/>
          </w:rPr>
          <w:t>13]</w:t>
        </w:r>
      </w:ins>
      <w:ins w:id="6" w:author="ZTE-V1" w:date="2025-02-08T18:45:20Z">
        <w:r>
          <w:rPr>
            <w:rFonts w:hint="eastAsia"/>
            <w:lang w:val="en-US" w:eastAsia="zh-CN"/>
          </w:rPr>
          <w:tab/>
        </w:r>
      </w:ins>
      <w:ins w:id="7" w:author="ZTE-V1" w:date="2025-02-08T18:46:25Z">
        <w:r>
          <w:rPr/>
          <w:t>3GPP TS 33.310: "Network Domain Security (NDS); Authentication Framework (AF)".</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w:t>
      </w:r>
      <w:r>
        <w:rPr>
          <w:rFonts w:hint="eastAsia" w:ascii="Arial" w:hAnsi="Arial" w:cs="Arial"/>
          <w:color w:val="0000FF"/>
          <w:sz w:val="28"/>
          <w:szCs w:val="28"/>
          <w:lang w:val="en-US" w:eastAsia="zh-CN"/>
        </w:rPr>
        <w:t xml:space="preserve"> 1</w:t>
      </w:r>
      <w:r>
        <w:rPr>
          <w:rFonts w:ascii="Arial" w:hAnsi="Arial" w:cs="Arial"/>
          <w:color w:val="0000FF"/>
          <w:sz w:val="28"/>
          <w:szCs w:val="28"/>
          <w:lang w:val="en-US"/>
        </w:rPr>
        <w:t xml:space="preserve"> * * * *</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pStyle w:val="2"/>
      </w:pPr>
      <w:bookmarkStart w:id="8" w:name="_Toc182841056"/>
      <w:bookmarkStart w:id="9" w:name="_Toc187937394"/>
      <w:bookmarkStart w:id="10" w:name="_Toc180279145"/>
      <w:bookmarkStart w:id="11" w:name="_Toc180278881"/>
      <w:bookmarkStart w:id="12" w:name="_Toc180279619"/>
      <w:bookmarkStart w:id="13" w:name="_Toc180278705"/>
      <w:bookmarkStart w:id="14" w:name="_Toc182899136"/>
      <w:bookmarkStart w:id="15" w:name="_Toc167405385"/>
      <w:r>
        <w:t>4</w:t>
      </w:r>
      <w:r>
        <w:tab/>
      </w:r>
      <w:r>
        <w:t>Architecture and Security Assumptions</w:t>
      </w:r>
      <w:bookmarkEnd w:id="8"/>
      <w:bookmarkEnd w:id="9"/>
      <w:bookmarkEnd w:id="10"/>
      <w:bookmarkEnd w:id="11"/>
      <w:bookmarkEnd w:id="12"/>
      <w:bookmarkEnd w:id="13"/>
      <w:bookmarkEnd w:id="14"/>
      <w:bookmarkEnd w:id="15"/>
    </w:p>
    <w:p>
      <w:pPr>
        <w:pStyle w:val="75"/>
      </w:pPr>
      <w:r>
        <w:t>Editor’s Note: This clause contains security architecture and assumptions to be considered for the study (e.g., per work task/KI).</w:t>
      </w:r>
    </w:p>
    <w:p>
      <w:pPr>
        <w:overflowPunct w:val="0"/>
        <w:autoSpaceDE w:val="0"/>
        <w:autoSpaceDN w:val="0"/>
        <w:adjustRightInd w:val="0"/>
        <w:textAlignment w:val="baseline"/>
        <w:rPr>
          <w:lang w:eastAsia="zh-CN"/>
        </w:rPr>
      </w:pPr>
      <w:r>
        <w:rPr>
          <w:lang w:eastAsia="zh-CN"/>
        </w:rPr>
        <w:t>The following architecture</w:t>
      </w:r>
      <w:r>
        <w:rPr>
          <w:rFonts w:hint="eastAsia"/>
          <w:lang w:eastAsia="zh-CN"/>
        </w:rPr>
        <w:t xml:space="preserve"> and security</w:t>
      </w:r>
      <w:r>
        <w:rPr>
          <w:lang w:eastAsia="zh-CN"/>
        </w:rPr>
        <w:t xml:space="preserve"> assumptions are applied:</w:t>
      </w:r>
    </w:p>
    <w:p>
      <w:pPr>
        <w:numPr>
          <w:ilvl w:val="0"/>
          <w:numId w:val="1"/>
        </w:numPr>
        <w:overflowPunct w:val="0"/>
        <w:autoSpaceDE w:val="0"/>
        <w:autoSpaceDN w:val="0"/>
        <w:adjustRightInd w:val="0"/>
        <w:textAlignment w:val="baseline"/>
        <w:rPr>
          <w:lang w:eastAsia="zh-CN"/>
        </w:rPr>
      </w:pPr>
      <w:r>
        <w:rPr>
          <w:lang w:eastAsia="zh-CN"/>
        </w:rPr>
        <w:t>The architecture assumptions and requirements for Ambient IoT services as defined in TR 23.700-13 [4] are used as architecture assumptions in this study.</w:t>
      </w:r>
    </w:p>
    <w:p>
      <w:pPr>
        <w:numPr>
          <w:ilvl w:val="0"/>
          <w:numId w:val="1"/>
        </w:numPr>
        <w:overflowPunct w:val="0"/>
        <w:autoSpaceDE w:val="0"/>
        <w:autoSpaceDN w:val="0"/>
        <w:adjustRightInd w:val="0"/>
        <w:textAlignment w:val="baseline"/>
        <w:rPr>
          <w:lang w:eastAsia="zh-CN"/>
        </w:rPr>
      </w:pPr>
      <w:bookmarkStart w:id="16" w:name="_Hlk175252275"/>
      <w:r>
        <w:rPr>
          <w:lang w:eastAsia="zh-CN"/>
        </w:rPr>
        <w:t>Two functional cases are considered as baseline: (1) inventory, (2) command.</w:t>
      </w:r>
    </w:p>
    <w:bookmarkEnd w:id="16"/>
    <w:p>
      <w:pPr>
        <w:pStyle w:val="88"/>
        <w:numPr>
          <w:ilvl w:val="0"/>
          <w:numId w:val="1"/>
        </w:numPr>
        <w:rPr>
          <w:lang w:val="en-US" w:eastAsia="zh-CN"/>
        </w:rPr>
      </w:pPr>
      <w:r>
        <w:rPr>
          <w:lang w:val="en-US" w:eastAsia="zh-CN"/>
        </w:rPr>
        <w:t xml:space="preserve">If </w:t>
      </w:r>
      <w:r>
        <w:t>the existing authentication framework (e.g., 5G-AKA, EAP-AKA’, other EAP methods for SNPN)</w:t>
      </w:r>
      <w:r>
        <w:rPr>
          <w:rFonts w:hint="eastAsia"/>
          <w:lang w:val="en-US" w:eastAsia="zh-CN"/>
        </w:rPr>
        <w:t xml:space="preserve"> is not reused</w:t>
      </w:r>
      <w:r>
        <w:t xml:space="preserve">, </w:t>
      </w:r>
      <w:r>
        <w:rPr>
          <w:rFonts w:hint="eastAsia"/>
          <w:lang w:val="en-US" w:eastAsia="zh-CN"/>
        </w:rPr>
        <w:t xml:space="preserve">a </w:t>
      </w:r>
      <w:r>
        <w:t>dedicated network for ambient IoT service</w:t>
      </w:r>
      <w:r>
        <w:rPr>
          <w:rFonts w:hint="eastAsia"/>
          <w:lang w:val="en-US" w:eastAsia="zh-CN"/>
        </w:rPr>
        <w:t xml:space="preserve"> </w:t>
      </w:r>
      <w:r>
        <w:rPr>
          <w:lang w:val="en-US" w:eastAsia="zh-CN"/>
        </w:rPr>
        <w:t xml:space="preserve">shall be needed, and security isolation mechanism between the AIoT service domain and operator domain </w:t>
      </w:r>
      <w:r>
        <w:rPr>
          <w:rFonts w:hint="eastAsia"/>
          <w:lang w:val="en-US" w:eastAsia="zh-CN"/>
        </w:rPr>
        <w:t>shall be</w:t>
      </w:r>
      <w:r>
        <w:rPr>
          <w:lang w:val="en-US" w:eastAsia="zh-CN"/>
        </w:rPr>
        <w:t xml:space="preserve"> needed (</w:t>
      </w:r>
      <w:r>
        <w:t>e.g. a security gateway</w:t>
      </w:r>
      <w:r>
        <w:rPr>
          <w:lang w:val="en-US"/>
        </w:rPr>
        <w:t xml:space="preserve"> may be deployed</w:t>
      </w:r>
      <w:r>
        <w:rPr>
          <w:lang w:val="en-US" w:eastAsia="zh-CN"/>
        </w:rPr>
        <w:t>)</w:t>
      </w:r>
      <w:r>
        <w:rPr>
          <w:rFonts w:hint="eastAsia"/>
          <w:lang w:val="en-US" w:eastAsia="zh-CN"/>
        </w:rPr>
        <w:t xml:space="preserve"> to isolate the operator's legacy domain</w:t>
      </w:r>
      <w:r>
        <w:rPr>
          <w:lang w:val="en-US" w:eastAsia="zh-CN"/>
        </w:rPr>
        <w:t>)</w:t>
      </w:r>
      <w:r>
        <w:rPr>
          <w:rFonts w:hint="eastAsia"/>
          <w:lang w:val="en-US" w:eastAsia="zh-CN"/>
        </w:rPr>
        <w:t>.</w:t>
      </w:r>
    </w:p>
    <w:p>
      <w:pPr>
        <w:pStyle w:val="58"/>
      </w:pPr>
      <w:r>
        <w:t xml:space="preserve">NOTE: If multiple domains exist in the deployment of the architecture in figure </w:t>
      </w:r>
      <w:del w:id="8" w:author="ZTE-V1" w:date="2025-02-08T18:39:46Z">
        <w:r>
          <w:rPr>
            <w:rFonts w:hint="default"/>
            <w:lang w:val="en-US"/>
          </w:rPr>
          <w:delText>x</w:delText>
        </w:r>
      </w:del>
      <w:ins w:id="9" w:author="ZTE-V1" w:date="2025-02-08T18:39:46Z">
        <w:r>
          <w:rPr>
            <w:rFonts w:hint="eastAsia"/>
            <w:lang w:val="en-US" w:eastAsia="zh-CN"/>
          </w:rPr>
          <w:t>4.1</w:t>
        </w:r>
      </w:ins>
      <w:r>
        <w:t>, the above policy applies.</w:t>
      </w:r>
    </w:p>
    <w:p>
      <w:pPr>
        <w:pStyle w:val="43"/>
        <w:numPr>
          <w:ilvl w:val="0"/>
          <w:numId w:val="1"/>
        </w:numPr>
        <w:jc w:val="center"/>
        <w:rPr>
          <w:lang w:val="en-US" w:eastAsia="zh-CN"/>
        </w:rPr>
      </w:pPr>
      <w:r>
        <w:drawing>
          <wp:inline distT="0" distB="0" distL="114300" distR="114300">
            <wp:extent cx="4723130" cy="1332230"/>
            <wp:effectExtent l="0" t="0" r="1270" b="1270"/>
            <wp:docPr id="854845736" name="图片 1" descr="A diagram of a clou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845736" name="图片 1" descr="A diagram of a cloud with text&#10;&#10;Description automatically generated"/>
                    <pic:cNvPicPr>
                      <a:picLocks noChangeAspect="1"/>
                    </pic:cNvPicPr>
                  </pic:nvPicPr>
                  <pic:blipFill>
                    <a:blip r:embed="rId6"/>
                    <a:stretch>
                      <a:fillRect/>
                    </a:stretch>
                  </pic:blipFill>
                  <pic:spPr>
                    <a:xfrm>
                      <a:off x="0" y="0"/>
                      <a:ext cx="4723130" cy="1332230"/>
                    </a:xfrm>
                    <a:prstGeom prst="rect">
                      <a:avLst/>
                    </a:prstGeom>
                    <a:noFill/>
                    <a:ln>
                      <a:noFill/>
                    </a:ln>
                  </pic:spPr>
                </pic:pic>
              </a:graphicData>
            </a:graphic>
          </wp:inline>
        </w:drawing>
      </w:r>
    </w:p>
    <w:p>
      <w:pPr>
        <w:pStyle w:val="88"/>
        <w:numPr>
          <w:ilvl w:val="0"/>
          <w:numId w:val="1"/>
        </w:numPr>
        <w:jc w:val="center"/>
        <w:rPr>
          <w:lang w:val="en-US" w:eastAsia="zh-CN"/>
        </w:rPr>
      </w:pPr>
      <w:r>
        <w:rPr>
          <w:rFonts w:hint="eastAsia"/>
          <w:lang w:val="en-US" w:eastAsia="zh-CN"/>
        </w:rPr>
        <w:t xml:space="preserve">Figure </w:t>
      </w:r>
      <w:r>
        <w:rPr>
          <w:lang w:val="en-US" w:eastAsia="zh-CN"/>
        </w:rPr>
        <w:t>4.1</w:t>
      </w:r>
      <w:r>
        <w:rPr>
          <w:rFonts w:hint="eastAsia"/>
          <w:lang w:val="en-US" w:eastAsia="zh-CN"/>
        </w:rPr>
        <w:t xml:space="preserve"> System </w:t>
      </w:r>
      <w:r>
        <w:rPr>
          <w:lang w:eastAsia="zh-CN"/>
        </w:rPr>
        <w:t>architecture</w:t>
      </w:r>
      <w:r>
        <w:rPr>
          <w:rFonts w:hint="eastAsia"/>
          <w:lang w:val="en-US" w:eastAsia="zh-CN"/>
        </w:rPr>
        <w:t xml:space="preserve"> and </w:t>
      </w:r>
      <w:r>
        <w:t>security assumption</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w:t>
      </w:r>
      <w:r>
        <w:rPr>
          <w:rFonts w:hint="eastAsia" w:ascii="Arial" w:hAnsi="Arial" w:cs="Arial"/>
          <w:color w:val="0000FF"/>
          <w:sz w:val="28"/>
          <w:szCs w:val="28"/>
          <w:lang w:val="en-US" w:eastAsia="zh-CN"/>
        </w:rPr>
        <w:t xml:space="preserve"> 2</w:t>
      </w:r>
      <w:r>
        <w:rPr>
          <w:rFonts w:ascii="Arial" w:hAnsi="Arial" w:cs="Arial"/>
          <w:color w:val="0000FF"/>
          <w:sz w:val="28"/>
          <w:szCs w:val="28"/>
          <w:lang w:val="en-US"/>
        </w:rPr>
        <w:t xml:space="preserve"> * * * *</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w:t>
      </w:r>
      <w:r>
        <w:rPr>
          <w:rFonts w:hint="eastAsia" w:ascii="Arial" w:hAnsi="Arial" w:cs="Arial"/>
          <w:color w:val="0000FF"/>
          <w:sz w:val="28"/>
          <w:szCs w:val="28"/>
          <w:lang w:val="en-US" w:eastAsia="zh-CN"/>
        </w:rPr>
        <w:t>Third</w:t>
      </w:r>
      <w:r>
        <w:rPr>
          <w:rFonts w:ascii="Arial" w:hAnsi="Arial" w:cs="Arial"/>
          <w:color w:val="0000FF"/>
          <w:sz w:val="28"/>
          <w:szCs w:val="28"/>
          <w:lang w:val="en-US"/>
        </w:rPr>
        <w:t xml:space="preserve"> Change * * * *</w:t>
      </w:r>
    </w:p>
    <w:p>
      <w:pPr>
        <w:pStyle w:val="3"/>
      </w:pPr>
      <w:bookmarkStart w:id="17" w:name="_Toc92180361"/>
      <w:bookmarkStart w:id="18" w:name="_Toc92805088"/>
      <w:bookmarkStart w:id="19" w:name="_Toc187937625"/>
      <w:bookmarkStart w:id="20" w:name="_Toc167791602"/>
      <w:bookmarkStart w:id="21" w:name="_Toc164702124"/>
      <w:bookmarkStart w:id="22" w:name="_Toc102752623"/>
      <w:bookmarkStart w:id="23" w:name="_Toc167984787"/>
      <w:r>
        <w:t>7.0</w:t>
      </w:r>
      <w:bookmarkEnd w:id="17"/>
      <w:bookmarkEnd w:id="18"/>
      <w:r>
        <w:tab/>
      </w:r>
      <w:r>
        <w:t>Gener</w:t>
      </w:r>
      <w:r>
        <w:rPr>
          <w:rFonts w:hint="eastAsia"/>
        </w:rPr>
        <w:t>al</w:t>
      </w:r>
      <w:r>
        <w:t xml:space="preserve"> </w:t>
      </w:r>
      <w:r>
        <w:rPr>
          <w:rFonts w:hint="eastAsia"/>
        </w:rPr>
        <w:t>c</w:t>
      </w:r>
      <w:r>
        <w:t>onclusion</w:t>
      </w:r>
      <w:bookmarkEnd w:id="19"/>
      <w:r>
        <w:t xml:space="preserve"> </w:t>
      </w:r>
      <w:bookmarkEnd w:id="20"/>
      <w:bookmarkEnd w:id="21"/>
      <w:bookmarkEnd w:id="22"/>
      <w:bookmarkEnd w:id="23"/>
    </w:p>
    <w:p>
      <w:pPr>
        <w:jc w:val="both"/>
        <w:rPr>
          <w:lang w:val="en-US" w:eastAsia="zh-CN"/>
        </w:rPr>
      </w:pPr>
      <w:r>
        <w:t xml:space="preserve">The study has reached conclusion on the following </w:t>
      </w:r>
      <w:r>
        <w:rPr>
          <w:rFonts w:hint="eastAsia"/>
          <w:lang w:eastAsia="zh-CN"/>
        </w:rPr>
        <w:t>aspects</w:t>
      </w:r>
      <w:r>
        <w:rPr>
          <w:lang w:eastAsia="zh-CN"/>
        </w:rPr>
        <w:t>,</w:t>
      </w:r>
      <w:r>
        <w:t xml:space="preserve"> to be taken into account for the normative phase:</w:t>
      </w:r>
    </w:p>
    <w:p>
      <w:pPr>
        <w:pStyle w:val="76"/>
        <w:ind w:left="284"/>
        <w:rPr>
          <w:lang w:val="en-US" w:eastAsia="zh-CN"/>
        </w:rPr>
      </w:pPr>
      <w:r>
        <w:rPr>
          <w:lang w:val="en-US" w:eastAsia="zh-CN"/>
        </w:rPr>
        <w:t>1.</w:t>
      </w:r>
      <w:r>
        <w:rPr>
          <w:lang w:val="en-US" w:eastAsia="zh-CN"/>
        </w:rPr>
        <w:tab/>
      </w:r>
      <w:r>
        <w:rPr>
          <w:lang w:val="en-US" w:eastAsia="zh-CN"/>
        </w:rPr>
        <w:t>For the protection of any new interfaces, CN or backhaul, existing mechanisms (i.e., NDS/IP from TS 33.310 [</w:t>
      </w:r>
      <w:r>
        <w:rPr>
          <w:highlight w:val="yellow"/>
          <w:lang w:val="en-US" w:eastAsia="zh-CN"/>
        </w:rPr>
        <w:t>x</w:t>
      </w:r>
      <w:r>
        <w:rPr>
          <w:lang w:val="en-US" w:eastAsia="zh-CN"/>
        </w:rPr>
        <w:t xml:space="preserve">] and SBA security from TS 33.501 [5]) are to be reused to the extent possible. </w:t>
      </w:r>
    </w:p>
    <w:p>
      <w:pPr>
        <w:pStyle w:val="14"/>
        <w:rPr>
          <w:lang w:val="en-US" w:eastAsia="zh-CN"/>
        </w:rPr>
      </w:pPr>
      <w:r>
        <w:rPr>
          <w:lang w:val="en-US" w:eastAsia="zh-CN"/>
        </w:rPr>
        <w:t>2.</w:t>
      </w:r>
      <w:r>
        <w:rPr>
          <w:lang w:val="en-US" w:eastAsia="zh-CN"/>
        </w:rPr>
        <w:tab/>
      </w:r>
      <w:r>
        <w:rPr>
          <w:lang w:val="en-US" w:eastAsia="zh-CN"/>
        </w:rPr>
        <w:t xml:space="preserve"> The protection of Ambient IoT Services between the AIoT device and the network can be provided by mechanisms at the network layer, the application layer or a combination of both.</w:t>
      </w:r>
    </w:p>
    <w:p>
      <w:pPr>
        <w:pStyle w:val="75"/>
        <w:rPr>
          <w:lang w:eastAsia="zh-CN"/>
        </w:rPr>
      </w:pPr>
      <w:r>
        <w:rPr>
          <w:lang w:eastAsia="zh-CN"/>
        </w:rPr>
        <w:t>Editor’s Note: Further conclusions on how to accommodate application layer mechanisms or whether that would be left to deployments, out of scope, etc. are ffs.</w:t>
      </w:r>
    </w:p>
    <w:p>
      <w:pPr>
        <w:pStyle w:val="76"/>
        <w:ind w:left="284"/>
        <w:rPr>
          <w:lang w:eastAsia="zh-CN"/>
        </w:rPr>
      </w:pPr>
      <w:r>
        <w:rPr>
          <w:lang w:eastAsia="zh-CN"/>
        </w:rPr>
        <w:t>3.</w:t>
      </w:r>
      <w:r>
        <w:rPr>
          <w:lang w:eastAsia="zh-CN"/>
        </w:rPr>
        <w:tab/>
      </w:r>
      <w:r>
        <w:rPr>
          <w:lang w:eastAsia="zh-CN"/>
        </w:rPr>
        <w:t>The network layer security solution to be specified includes the following security capabilities: authentication (one-way and mutual), protection of the AIoT data (confidentiality, integrity and replay protection) and identifier privacy over the air interface.</w:t>
      </w:r>
    </w:p>
    <w:p>
      <w:pPr>
        <w:pStyle w:val="58"/>
        <w:rPr>
          <w:lang w:val="en-US" w:eastAsia="zh-CN"/>
        </w:rPr>
      </w:pPr>
      <w:r>
        <w:rPr>
          <w:lang w:eastAsia="zh-CN"/>
        </w:rPr>
        <w:t>NOTE: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t>
      </w:r>
    </w:p>
    <w:p>
      <w:pPr>
        <w:pStyle w:val="76"/>
        <w:ind w:left="284"/>
        <w:rPr>
          <w:lang w:eastAsia="zh-CN"/>
        </w:rPr>
      </w:pPr>
      <w:bookmarkStart w:id="24" w:name="_Hlk187696202"/>
      <w:r>
        <w:rPr>
          <w:lang w:val="en-US" w:eastAsia="zh-CN"/>
        </w:rPr>
        <w:t>4.</w:t>
      </w:r>
      <w:r>
        <w:rPr>
          <w:lang w:val="en-US" w:eastAsia="zh-CN"/>
        </w:rPr>
        <w:tab/>
      </w:r>
      <w:r>
        <w:rPr>
          <w:rFonts w:eastAsia="Times New Roman"/>
          <w:color w:val="000000"/>
          <w:sz w:val="22"/>
          <w:szCs w:val="22"/>
        </w:rPr>
        <w:t>For network layer security, the AIoTF acts as the security termination point on the network side.</w:t>
      </w:r>
    </w:p>
    <w:bookmarkEnd w:id="24"/>
    <w:p>
      <w:pPr>
        <w:pStyle w:val="75"/>
        <w:rPr>
          <w:lang w:eastAsia="zh-CN"/>
        </w:rPr>
      </w:pPr>
      <w:r>
        <w:rPr>
          <w:lang w:eastAsia="zh-CN"/>
        </w:rPr>
        <w:t>Editor’s Note: Further conclusions are FFS.</w:t>
      </w:r>
    </w:p>
    <w:p>
      <w:pPr>
        <w:pStyle w:val="76"/>
        <w:ind w:left="284"/>
        <w:rPr>
          <w:lang w:val="en-US" w:eastAsia="zh-CN"/>
        </w:rPr>
      </w:pPr>
      <w:r>
        <w:rPr>
          <w:lang w:val="en-US" w:eastAsia="zh-CN"/>
        </w:rPr>
        <w:t xml:space="preserve">5.  </w:t>
      </w:r>
      <w:r>
        <w:rPr>
          <w:rFonts w:hint="eastAsia"/>
          <w:lang w:val="en-US" w:eastAsia="zh-CN"/>
        </w:rPr>
        <w:t xml:space="preserve">A dedicated network for AIoT service shall be needed if </w:t>
      </w:r>
      <w:r>
        <w:rPr>
          <w:lang w:val="en-US" w:eastAsia="zh-CN"/>
        </w:rPr>
        <w:t>the existing authentication framework (e.g., 5G-AKA, EAP-AKA’, other EAP methods for SNPN)</w:t>
      </w:r>
      <w:r>
        <w:rPr>
          <w:rFonts w:hint="eastAsia"/>
          <w:lang w:val="en-US" w:eastAsia="zh-CN"/>
        </w:rPr>
        <w:t xml:space="preserve"> is not reused. To secure the operator's core network, </w:t>
      </w:r>
      <w:r>
        <w:rPr>
          <w:lang w:val="en-US" w:eastAsia="zh-CN"/>
        </w:rPr>
        <w:t xml:space="preserve">security isolation mechanism between the AIoT service domain and operator domain </w:t>
      </w:r>
      <w:r>
        <w:rPr>
          <w:rFonts w:hint="eastAsia"/>
          <w:lang w:val="en-US" w:eastAsia="zh-CN"/>
        </w:rPr>
        <w:t>shall be</w:t>
      </w:r>
      <w:r>
        <w:rPr>
          <w:lang w:val="en-US" w:eastAsia="zh-CN"/>
        </w:rPr>
        <w:t xml:space="preserve"> needed (e.g., operators may choose to deploy a security gateway).</w:t>
      </w:r>
    </w:p>
    <w:p>
      <w:pPr>
        <w:pStyle w:val="43"/>
        <w:rPr>
          <w:lang w:val="en-US"/>
        </w:rPr>
      </w:pPr>
      <w:r>
        <w:t>NOTE: If multiple domains exist in the deployment of the architecture, the above policy applies.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B4E43"/>
    <w:multiLevelType w:val="multilevel"/>
    <w:tmpl w:val="000B4E43"/>
    <w:lvl w:ilvl="0" w:tentative="0">
      <w:start w:val="4"/>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295085F"/>
    <w:rsid w:val="10B55050"/>
    <w:rsid w:val="10F33987"/>
    <w:rsid w:val="152543B4"/>
    <w:rsid w:val="156E5C37"/>
    <w:rsid w:val="1B8F7D55"/>
    <w:rsid w:val="1D435EF9"/>
    <w:rsid w:val="1E5D6883"/>
    <w:rsid w:val="36FC4DF0"/>
    <w:rsid w:val="470F345F"/>
    <w:rsid w:val="4A125BC4"/>
    <w:rsid w:val="6815360F"/>
    <w:rsid w:val="68C45ABB"/>
    <w:rsid w:val="74901000"/>
    <w:rsid w:val="781546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paragraph" w:styleId="43">
    <w:name w:val="Body Text First Indent"/>
    <w:basedOn w:val="30"/>
    <w:qFormat/>
    <w:uiPriority w:val="0"/>
    <w:pPr>
      <w:ind w:firstLine="210"/>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paragraph" w:styleId="88">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1</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ZTE-V1</cp:lastModifiedBy>
  <cp:lastPrinted>2411-12-31T05:00:00Z</cp:lastPrinted>
  <dcterms:modified xsi:type="dcterms:W3CDTF">2025-02-10T06:31:05Z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F4CA23F550944F71B2A1FAE68E84CB7C</vt:lpwstr>
  </property>
</Properties>
</file>